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2C" w:rsidRDefault="00277A2C" w:rsidP="008335E4">
      <w:pPr>
        <w:jc w:val="both"/>
        <w:rPr>
          <w:rFonts w:ascii="Arial" w:hAnsi="Arial" w:cs="Arial"/>
          <w:lang w:val="mk-MK"/>
        </w:rPr>
      </w:pP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</w:p>
    <w:p w:rsidR="00C024D5" w:rsidRDefault="001A0FB5" w:rsidP="00C024D5">
      <w:pPr>
        <w:jc w:val="both"/>
        <w:rPr>
          <w:rFonts w:ascii="Arial" w:hAnsi="Arial" w:cs="Arial"/>
          <w:lang w:val="mk-MK"/>
        </w:rPr>
      </w:pPr>
      <w:r w:rsidRPr="008335E4">
        <w:rPr>
          <w:rFonts w:ascii="Arial" w:hAnsi="Arial" w:cs="Arial"/>
          <w:b/>
          <w:lang w:val="mk-MK"/>
        </w:rPr>
        <w:t>До:</w:t>
      </w:r>
      <w:r>
        <w:rPr>
          <w:rFonts w:ascii="Arial" w:hAnsi="Arial" w:cs="Arial"/>
          <w:lang w:val="mk-MK"/>
        </w:rPr>
        <w:tab/>
      </w:r>
      <w:r w:rsidR="00C024D5">
        <w:rPr>
          <w:rFonts w:ascii="Arial" w:hAnsi="Arial" w:cs="Arial"/>
          <w:lang w:val="mk-MK"/>
        </w:rPr>
        <w:t>Извршен директор на СВН;</w:t>
      </w:r>
    </w:p>
    <w:p w:rsidR="001A0FB5" w:rsidRDefault="00C024D5" w:rsidP="00C024D5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</w:t>
      </w:r>
      <w:r w:rsidR="001A0FB5">
        <w:rPr>
          <w:rFonts w:ascii="Arial" w:hAnsi="Arial" w:cs="Arial"/>
          <w:lang w:val="mk-MK"/>
        </w:rPr>
        <w:t>ачалник на ОБКЛ;</w:t>
      </w: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C024D5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ачалник на центар за обука на КЛ и ПКЛ;</w:t>
      </w: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C024D5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ачалник на одделение за безбедност, сигурност и квалитет;</w:t>
      </w: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  <w:r w:rsidRPr="008335E4">
        <w:rPr>
          <w:rFonts w:ascii="Arial" w:hAnsi="Arial" w:cs="Arial"/>
          <w:b/>
          <w:lang w:val="mk-MK"/>
        </w:rPr>
        <w:t>Предмет:</w:t>
      </w:r>
      <w:r>
        <w:rPr>
          <w:rFonts w:ascii="Arial" w:hAnsi="Arial" w:cs="Arial"/>
          <w:lang w:val="mk-MK"/>
        </w:rPr>
        <w:t xml:space="preserve"> извештај од спроведени симулациски вежби</w:t>
      </w: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Почитувани,</w:t>
      </w: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На усмен налог на началникот на ОБКЛ, а согласно упатствата добиени преку електронс</w:t>
      </w:r>
      <w:r w:rsidR="007C56A6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>а пошта од извршниот директор на СВН, експерт</w:t>
      </w:r>
      <w:r w:rsidR="007C56A6">
        <w:rPr>
          <w:rFonts w:ascii="Arial" w:hAnsi="Arial" w:cs="Arial"/>
          <w:lang w:val="mk-MK"/>
        </w:rPr>
        <w:t>ите</w:t>
      </w:r>
      <w:r>
        <w:rPr>
          <w:rFonts w:ascii="Arial" w:hAnsi="Arial" w:cs="Arial"/>
          <w:lang w:val="mk-MK"/>
        </w:rPr>
        <w:t xml:space="preserve"> за КЛ во ОБКЛ, </w:t>
      </w:r>
      <w:r w:rsidR="007C56A6">
        <w:rPr>
          <w:rFonts w:ascii="Arial" w:hAnsi="Arial" w:cs="Arial"/>
          <w:lang w:val="mk-MK"/>
        </w:rPr>
        <w:t xml:space="preserve">Ненад Константиновиќ и </w:t>
      </w:r>
      <w:r>
        <w:rPr>
          <w:rFonts w:ascii="Arial" w:hAnsi="Arial" w:cs="Arial"/>
          <w:lang w:val="mk-MK"/>
        </w:rPr>
        <w:t>Александар Гаврилов, инструктор</w:t>
      </w:r>
      <w:r w:rsidR="007C56A6">
        <w:rPr>
          <w:rFonts w:ascii="Arial" w:hAnsi="Arial" w:cs="Arial"/>
          <w:lang w:val="mk-MK"/>
        </w:rPr>
        <w:t>ите</w:t>
      </w:r>
      <w:r>
        <w:rPr>
          <w:rFonts w:ascii="Arial" w:hAnsi="Arial" w:cs="Arial"/>
          <w:lang w:val="mk-MK"/>
        </w:rPr>
        <w:t xml:space="preserve"> во ОБКЛ, Дејан Георгиев</w:t>
      </w:r>
      <w:r w:rsidR="007C56A6">
        <w:rPr>
          <w:rFonts w:ascii="Arial" w:hAnsi="Arial" w:cs="Arial"/>
          <w:lang w:val="mk-MK"/>
        </w:rPr>
        <w:t xml:space="preserve"> и Едмонд Калиќи, како и инструкторот во ЦО на КЛ и ПКЛ, Николет Тагарински</w:t>
      </w:r>
      <w:r>
        <w:rPr>
          <w:rFonts w:ascii="Arial" w:hAnsi="Arial" w:cs="Arial"/>
          <w:lang w:val="mk-MK"/>
        </w:rPr>
        <w:t xml:space="preserve">, на ден </w:t>
      </w:r>
      <w:r w:rsidR="007C56A6">
        <w:rPr>
          <w:rFonts w:ascii="Arial" w:hAnsi="Arial" w:cs="Arial"/>
          <w:lang w:val="mk-MK"/>
        </w:rPr>
        <w:t>26</w:t>
      </w:r>
      <w:r>
        <w:rPr>
          <w:rFonts w:ascii="Arial" w:hAnsi="Arial" w:cs="Arial"/>
          <w:lang w:val="mk-MK"/>
        </w:rPr>
        <w:t xml:space="preserve">.02.2018г., ги спроведоа симулациските вежби со </w:t>
      </w:r>
      <w:r>
        <w:rPr>
          <w:rFonts w:ascii="Arial" w:hAnsi="Arial" w:cs="Arial"/>
          <w:lang w:val="en-GB"/>
        </w:rPr>
        <w:t>DFL355.</w:t>
      </w:r>
    </w:p>
    <w:p w:rsidR="001A0FB5" w:rsidRDefault="001A0FB5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Имено, согласно извршената анализа на сообраќајот од летната сезона 2017г., се увиде потреба од дополнително реструктуирање на постоечката секторска поделба во ОБКЛ, со што би се избегнало надминување</w:t>
      </w:r>
      <w:r w:rsidR="008335E4">
        <w:rPr>
          <w:rFonts w:ascii="Arial" w:hAnsi="Arial" w:cs="Arial"/>
          <w:lang w:val="mk-MK"/>
        </w:rPr>
        <w:t>то</w:t>
      </w:r>
      <w:r>
        <w:rPr>
          <w:rFonts w:ascii="Arial" w:hAnsi="Arial" w:cs="Arial"/>
          <w:lang w:val="mk-MK"/>
        </w:rPr>
        <w:t xml:space="preserve"> на секторските капацитети во одредени случаи</w:t>
      </w:r>
      <w:r w:rsidR="008335E4">
        <w:rPr>
          <w:rFonts w:ascii="Arial" w:hAnsi="Arial" w:cs="Arial"/>
          <w:lang w:val="mk-MK"/>
        </w:rPr>
        <w:t xml:space="preserve">, и воедно </w:t>
      </w:r>
      <w:r>
        <w:rPr>
          <w:rFonts w:ascii="Arial" w:hAnsi="Arial" w:cs="Arial"/>
          <w:lang w:val="mk-MK"/>
        </w:rPr>
        <w:t>би се намалила потребата за отварање на трет сектор во вакви случаи. За оваа проблематика има посебен извештај</w:t>
      </w:r>
      <w:r w:rsidR="007C56A6">
        <w:rPr>
          <w:rFonts w:ascii="Arial" w:hAnsi="Arial" w:cs="Arial"/>
          <w:lang w:val="mk-MK"/>
        </w:rPr>
        <w:t>, за која</w:t>
      </w:r>
      <w:r w:rsidR="008335E4">
        <w:rPr>
          <w:rFonts w:ascii="Arial" w:hAnsi="Arial" w:cs="Arial"/>
          <w:lang w:val="mk-MK"/>
        </w:rPr>
        <w:t xml:space="preserve"> е </w:t>
      </w:r>
      <w:r>
        <w:rPr>
          <w:rFonts w:ascii="Arial" w:hAnsi="Arial" w:cs="Arial"/>
          <w:lang w:val="mk-MK"/>
        </w:rPr>
        <w:t xml:space="preserve">направена посебна безбедносна проценка. </w:t>
      </w:r>
    </w:p>
    <w:p w:rsidR="00470A8B" w:rsidRDefault="00470A8B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Врз основа на оперативните потреби и како резултат на безбедносната проценка, се дојде до заклучок</w:t>
      </w:r>
      <w:r w:rsidR="008335E4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mk-MK"/>
        </w:rPr>
        <w:t xml:space="preserve"> дека е потребно пред донесување на конечна одлука за воведување на нова двосекторска/тросекторска граница, во симулирана околина да се изврши проверка на евентуалните оперативно/технички потешкотии кои при имплементација би можеле да се појават.</w:t>
      </w:r>
    </w:p>
    <w:p w:rsidR="00470A8B" w:rsidRDefault="00470A8B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За таа цел, се спроведоа две симулациски двосекторски вежби на симулаторот во М-НАВ, и тоа вежбите </w:t>
      </w:r>
      <w:r w:rsidR="004C159C">
        <w:rPr>
          <w:rFonts w:ascii="Arial" w:hAnsi="Arial" w:cs="Arial"/>
          <w:lang w:val="en-GB"/>
        </w:rPr>
        <w:t>07</w:t>
      </w:r>
      <w:r w:rsidR="004C159C">
        <w:rPr>
          <w:rFonts w:ascii="Arial" w:hAnsi="Arial" w:cs="Arial"/>
          <w:lang w:val="mk-MK"/>
        </w:rPr>
        <w:t xml:space="preserve"> и </w:t>
      </w:r>
      <w:r w:rsidR="004C159C">
        <w:rPr>
          <w:rFonts w:ascii="Arial" w:hAnsi="Arial" w:cs="Arial"/>
          <w:lang w:val="en-GB"/>
        </w:rPr>
        <w:t>08</w:t>
      </w:r>
      <w:r w:rsidR="004C159C">
        <w:rPr>
          <w:rFonts w:ascii="Arial" w:hAnsi="Arial" w:cs="Arial"/>
          <w:lang w:val="mk-MK"/>
        </w:rPr>
        <w:t xml:space="preserve"> на </w:t>
      </w:r>
      <w:r w:rsidR="004C159C">
        <w:rPr>
          <w:rFonts w:ascii="Arial" w:hAnsi="Arial" w:cs="Arial"/>
          <w:lang w:val="en-GB"/>
        </w:rPr>
        <w:t xml:space="preserve">LOWER </w:t>
      </w:r>
      <w:r w:rsidR="004C159C">
        <w:rPr>
          <w:rFonts w:ascii="Arial" w:hAnsi="Arial" w:cs="Arial"/>
          <w:lang w:val="mk-MK"/>
        </w:rPr>
        <w:t xml:space="preserve">и </w:t>
      </w:r>
      <w:r w:rsidR="004C159C">
        <w:rPr>
          <w:rFonts w:ascii="Arial" w:hAnsi="Arial" w:cs="Arial"/>
          <w:lang w:val="en-GB"/>
        </w:rPr>
        <w:t xml:space="preserve">09 </w:t>
      </w:r>
      <w:r w:rsidR="004C159C">
        <w:rPr>
          <w:rFonts w:ascii="Arial" w:hAnsi="Arial" w:cs="Arial"/>
          <w:lang w:val="mk-MK"/>
        </w:rPr>
        <w:t xml:space="preserve">и 10 на </w:t>
      </w:r>
      <w:r w:rsidR="004C159C">
        <w:rPr>
          <w:rFonts w:ascii="Arial" w:hAnsi="Arial" w:cs="Arial"/>
          <w:lang w:val="en-GB"/>
        </w:rPr>
        <w:t>UPPER</w:t>
      </w:r>
      <w:r>
        <w:rPr>
          <w:rFonts w:ascii="Arial" w:hAnsi="Arial" w:cs="Arial"/>
          <w:lang w:val="mk-MK"/>
        </w:rPr>
        <w:t xml:space="preserve"> со </w:t>
      </w:r>
      <w:r>
        <w:rPr>
          <w:rFonts w:ascii="Arial" w:hAnsi="Arial" w:cs="Arial"/>
          <w:lang w:val="en-GB"/>
        </w:rPr>
        <w:t>DFL</w:t>
      </w:r>
      <w:r>
        <w:rPr>
          <w:rFonts w:ascii="Arial" w:hAnsi="Arial" w:cs="Arial"/>
          <w:lang w:val="mk-MK"/>
        </w:rPr>
        <w:t xml:space="preserve">355. </w:t>
      </w:r>
    </w:p>
    <w:p w:rsidR="00470A8B" w:rsidRDefault="00470A8B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По спроведување на вежбите, не се увидени никакви технички пречки, што значи дека не се очекуваат пречки и при имплементација на новопредложената секторска поделба. При извршување на вежбите, сите воздухоплови беа распределени на соодветниот сектор, дистрибуцијата на </w:t>
      </w:r>
      <w:r>
        <w:rPr>
          <w:rFonts w:ascii="Arial" w:hAnsi="Arial" w:cs="Arial"/>
          <w:lang w:val="mk-MK"/>
        </w:rPr>
        <w:lastRenderedPageBreak/>
        <w:t>планот за лет се одвиваше според планираните и зададените вертикални движења на сите воздухоплови, без никакви значајни проблеми или потешкотии.</w:t>
      </w:r>
    </w:p>
    <w:p w:rsidR="00470A8B" w:rsidRDefault="00470A8B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Во однос на оперативните последици се заклучи дека оваа новина претставува значајна промена, и </w:t>
      </w:r>
      <w:r w:rsidR="008335E4">
        <w:rPr>
          <w:rFonts w:ascii="Arial" w:hAnsi="Arial" w:cs="Arial"/>
          <w:lang w:val="mk-MK"/>
        </w:rPr>
        <w:t>заради безбе</w:t>
      </w:r>
      <w:r w:rsidR="00A24C98">
        <w:rPr>
          <w:rFonts w:ascii="Arial" w:hAnsi="Arial" w:cs="Arial"/>
          <w:lang w:val="mk-MK"/>
        </w:rPr>
        <w:t>д</w:t>
      </w:r>
      <w:r w:rsidR="008335E4">
        <w:rPr>
          <w:rFonts w:ascii="Arial" w:hAnsi="Arial" w:cs="Arial"/>
          <w:lang w:val="mk-MK"/>
        </w:rPr>
        <w:t xml:space="preserve">но менување на секторската граница </w:t>
      </w:r>
      <w:r>
        <w:rPr>
          <w:rFonts w:ascii="Arial" w:hAnsi="Arial" w:cs="Arial"/>
          <w:lang w:val="mk-MK"/>
        </w:rPr>
        <w:t xml:space="preserve">потребно </w:t>
      </w:r>
      <w:r w:rsidR="008335E4">
        <w:rPr>
          <w:rFonts w:ascii="Arial" w:hAnsi="Arial" w:cs="Arial"/>
          <w:lang w:val="mk-MK"/>
        </w:rPr>
        <w:t xml:space="preserve">е истата промена да се извежба на претстојниот курс за освежување на знаењето, каде сите КЛ би можеле да ја увидат промената и сите </w:t>
      </w:r>
      <w:r w:rsidR="00777DFE">
        <w:rPr>
          <w:rFonts w:ascii="Arial" w:hAnsi="Arial" w:cs="Arial"/>
          <w:lang w:val="mk-MK"/>
        </w:rPr>
        <w:t>промени</w:t>
      </w:r>
      <w:r w:rsidR="008335E4">
        <w:rPr>
          <w:rFonts w:ascii="Arial" w:hAnsi="Arial" w:cs="Arial"/>
          <w:lang w:val="mk-MK"/>
        </w:rPr>
        <w:t xml:space="preserve"> во координација што би се случиле согласно новонастанатата секторска поделба.</w:t>
      </w:r>
    </w:p>
    <w:p w:rsidR="008335E4" w:rsidRDefault="008335E4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Останува на центарот за обука на КЛ и ПКЛ да одлучи за бројот на вежби кои би биле доволни да се извежба оваа новина, но според досегашните искуства во минатото, како на пример при имплементирање на </w:t>
      </w:r>
      <w:r>
        <w:rPr>
          <w:rFonts w:ascii="Arial" w:hAnsi="Arial" w:cs="Arial"/>
          <w:lang w:val="en-GB"/>
        </w:rPr>
        <w:t>FRA</w:t>
      </w:r>
      <w:r>
        <w:rPr>
          <w:rFonts w:ascii="Arial" w:hAnsi="Arial" w:cs="Arial"/>
          <w:lang w:val="mk-MK"/>
        </w:rPr>
        <w:t>, би се очекувало бројот на вежби да не е помалку од две вежби.</w:t>
      </w:r>
    </w:p>
    <w:p w:rsidR="008335E4" w:rsidRDefault="008335E4" w:rsidP="008335E4">
      <w:pPr>
        <w:jc w:val="both"/>
        <w:rPr>
          <w:rFonts w:ascii="Arial" w:hAnsi="Arial" w:cs="Arial"/>
          <w:lang w:val="mk-MK"/>
        </w:rPr>
      </w:pPr>
    </w:p>
    <w:p w:rsidR="008335E4" w:rsidRDefault="008335E4" w:rsidP="008335E4">
      <w:pPr>
        <w:jc w:val="both"/>
        <w:rPr>
          <w:rFonts w:ascii="Arial" w:hAnsi="Arial" w:cs="Arial"/>
          <w:lang w:val="mk-MK"/>
        </w:rPr>
      </w:pPr>
    </w:p>
    <w:p w:rsidR="008335E4" w:rsidRDefault="008335E4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 почит,</w:t>
      </w:r>
    </w:p>
    <w:p w:rsidR="008335E4" w:rsidRDefault="008335E4" w:rsidP="008335E4">
      <w:pPr>
        <w:jc w:val="both"/>
        <w:rPr>
          <w:rFonts w:ascii="Arial" w:hAnsi="Arial" w:cs="Arial"/>
          <w:lang w:val="mk-MK"/>
        </w:rPr>
      </w:pPr>
    </w:p>
    <w:p w:rsidR="008335E4" w:rsidRDefault="008335E4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Александар Гаврилов,</w:t>
      </w:r>
      <w:r w:rsidR="00A24C98">
        <w:rPr>
          <w:rFonts w:ascii="Arial" w:hAnsi="Arial" w:cs="Arial"/>
          <w:lang w:val="mk-MK"/>
        </w:rPr>
        <w:tab/>
      </w:r>
      <w:r w:rsidR="00A24C98">
        <w:rPr>
          <w:rFonts w:ascii="Arial" w:hAnsi="Arial" w:cs="Arial"/>
          <w:lang w:val="mk-MK"/>
        </w:rPr>
        <w:tab/>
        <w:t>Николет Тагарински</w:t>
      </w:r>
    </w:p>
    <w:p w:rsidR="008335E4" w:rsidRDefault="008335E4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Експерт за КЛ во ОБКЛ</w:t>
      </w:r>
      <w:r w:rsidR="00A24C98">
        <w:rPr>
          <w:rFonts w:ascii="Arial" w:hAnsi="Arial" w:cs="Arial"/>
          <w:lang w:val="mk-MK"/>
        </w:rPr>
        <w:tab/>
      </w:r>
      <w:r w:rsidR="00A24C98">
        <w:rPr>
          <w:rFonts w:ascii="Arial" w:hAnsi="Arial" w:cs="Arial"/>
          <w:lang w:val="mk-MK"/>
        </w:rPr>
        <w:tab/>
      </w:r>
      <w:r w:rsidR="00D27F09">
        <w:rPr>
          <w:rFonts w:ascii="Arial" w:hAnsi="Arial" w:cs="Arial"/>
          <w:lang w:val="mk-MK"/>
        </w:rPr>
        <w:t>Ин</w:t>
      </w:r>
      <w:r w:rsidR="00A24C98">
        <w:rPr>
          <w:rFonts w:ascii="Arial" w:hAnsi="Arial" w:cs="Arial"/>
          <w:lang w:val="mk-MK"/>
        </w:rPr>
        <w:t>структор во ЦО на КЛ и ПКЛ</w:t>
      </w:r>
    </w:p>
    <w:p w:rsidR="00A24C98" w:rsidRDefault="00A24C98" w:rsidP="008335E4">
      <w:pPr>
        <w:jc w:val="both"/>
        <w:rPr>
          <w:rFonts w:ascii="Arial" w:hAnsi="Arial" w:cs="Arial"/>
          <w:lang w:val="mk-MK"/>
        </w:rPr>
      </w:pPr>
    </w:p>
    <w:p w:rsidR="00A24C98" w:rsidRDefault="00A24C98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Ненад Константиновиќ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Едмонд Калиќи</w:t>
      </w:r>
    </w:p>
    <w:p w:rsidR="00A24C98" w:rsidRDefault="00A24C98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Експерт за КЛ во ОБКЛ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="00D27F0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>нструктор во ОБКЛ</w:t>
      </w:r>
    </w:p>
    <w:p w:rsidR="008335E4" w:rsidRDefault="008335E4" w:rsidP="008335E4">
      <w:pPr>
        <w:jc w:val="both"/>
        <w:rPr>
          <w:rFonts w:ascii="Arial" w:hAnsi="Arial" w:cs="Arial"/>
          <w:lang w:val="mk-MK"/>
        </w:rPr>
      </w:pPr>
    </w:p>
    <w:p w:rsidR="008335E4" w:rsidRDefault="008335E4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Дејан Георгиев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="008C4922">
        <w:rPr>
          <w:rFonts w:ascii="Arial" w:hAnsi="Arial" w:cs="Arial"/>
          <w:lang w:val="mk-MK"/>
        </w:rPr>
        <w:t>Владимир Трпковски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</w:p>
    <w:p w:rsidR="008C4922" w:rsidRDefault="008335E4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Инструктор во ОБКЛ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="008C4922">
        <w:rPr>
          <w:rFonts w:ascii="Arial" w:hAnsi="Arial" w:cs="Arial"/>
          <w:lang w:val="mk-MK"/>
        </w:rPr>
        <w:t>Началник на ОБКЛ</w:t>
      </w:r>
    </w:p>
    <w:p w:rsidR="00C024D5" w:rsidRDefault="008335E4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</w:p>
    <w:p w:rsidR="00C024D5" w:rsidRDefault="00C024D5" w:rsidP="008335E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Скопје,</w:t>
      </w:r>
    </w:p>
    <w:p w:rsidR="008335E4" w:rsidRPr="00470A8B" w:rsidRDefault="008335E4" w:rsidP="00C024D5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2</w:t>
      </w:r>
      <w:r w:rsidR="00A24C98">
        <w:rPr>
          <w:rFonts w:ascii="Arial" w:hAnsi="Arial" w:cs="Arial"/>
          <w:lang w:val="mk-MK"/>
        </w:rPr>
        <w:t>9</w:t>
      </w:r>
      <w:r>
        <w:rPr>
          <w:rFonts w:ascii="Arial" w:hAnsi="Arial" w:cs="Arial"/>
          <w:lang w:val="mk-MK"/>
        </w:rPr>
        <w:t>.02.2018г.</w:t>
      </w:r>
    </w:p>
    <w:sectPr w:rsidR="008335E4" w:rsidRPr="00470A8B" w:rsidSect="00AF4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E1" w:rsidRDefault="002E0FE1">
      <w:r>
        <w:separator/>
      </w:r>
    </w:p>
  </w:endnote>
  <w:endnote w:type="continuationSeparator" w:id="0">
    <w:p w:rsidR="002E0FE1" w:rsidRDefault="002E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53B" w:rsidRDefault="00B71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8A1" w:rsidRDefault="008C4922" w:rsidP="00D44935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5.15pt;height:55.75pt">
          <v:imagedata r:id="rId1" o:title="iso 9001 ohsas_doc_pola"/>
        </v:shape>
      </w:pict>
    </w:r>
    <w:r w:rsidR="00D44935">
      <w:br/>
    </w:r>
    <w:r w:rsidR="00D44935" w:rsidRPr="00D44935">
      <w:rPr>
        <w:rFonts w:ascii="Arial" w:hAnsi="Arial" w:cs="Arial"/>
        <w:sz w:val="16"/>
        <w:szCs w:val="16"/>
      </w:rPr>
      <w:t>www.mnavigation.mk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53B" w:rsidRDefault="00B71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E1" w:rsidRDefault="002E0FE1">
      <w:r>
        <w:separator/>
      </w:r>
    </w:p>
  </w:footnote>
  <w:footnote w:type="continuationSeparator" w:id="0">
    <w:p w:rsidR="002E0FE1" w:rsidRDefault="002E0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2C" w:rsidRDefault="008C3F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243.55pt;height:647.9pt;z-index:-1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56" w:type="dxa"/>
      <w:tblLook w:val="01E0"/>
    </w:tblPr>
    <w:tblGrid>
      <w:gridCol w:w="4788"/>
      <w:gridCol w:w="4068"/>
    </w:tblGrid>
    <w:tr w:rsidR="00BD746E" w:rsidRPr="001C0DE6" w:rsidTr="0040762D">
      <w:tc>
        <w:tcPr>
          <w:tcW w:w="4788" w:type="dxa"/>
          <w:shd w:val="clear" w:color="auto" w:fill="auto"/>
        </w:tcPr>
        <w:p w:rsidR="00BD746E" w:rsidRDefault="008C3FC2">
          <w:pPr>
            <w:pStyle w:val="Head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.5pt;height:88.85pt">
                <v:imagedata r:id="rId1" o:title="logo MKD RGB"/>
              </v:shape>
            </w:pict>
          </w:r>
        </w:p>
      </w:tc>
      <w:tc>
        <w:tcPr>
          <w:tcW w:w="4068" w:type="dxa"/>
          <w:shd w:val="clear" w:color="auto" w:fill="auto"/>
          <w:vAlign w:val="center"/>
        </w:tcPr>
        <w:p w:rsidR="00F00B43" w:rsidRPr="0040762D" w:rsidRDefault="00F00B43" w:rsidP="0040762D">
          <w:pPr>
            <w:pStyle w:val="Header"/>
            <w:tabs>
              <w:tab w:val="left" w:pos="612"/>
            </w:tabs>
            <w:rPr>
              <w:rFonts w:ascii="Verdana" w:hAnsi="Verdana"/>
              <w:color w:val="00CCFF"/>
              <w:sz w:val="12"/>
              <w:szCs w:val="12"/>
            </w:rPr>
          </w:pPr>
        </w:p>
        <w:p w:rsidR="00F00B43" w:rsidRPr="0040762D" w:rsidRDefault="00F00B43" w:rsidP="0040762D">
          <w:pPr>
            <w:pStyle w:val="Header"/>
            <w:tabs>
              <w:tab w:val="left" w:pos="612"/>
            </w:tabs>
            <w:rPr>
              <w:rFonts w:ascii="Verdana" w:hAnsi="Verdana"/>
              <w:color w:val="00CCFF"/>
              <w:sz w:val="12"/>
              <w:szCs w:val="12"/>
            </w:rPr>
          </w:pPr>
        </w:p>
        <w:p w:rsidR="00F00B43" w:rsidRPr="0040762D" w:rsidRDefault="00F00B43" w:rsidP="0040762D">
          <w:pPr>
            <w:pStyle w:val="Header"/>
            <w:tabs>
              <w:tab w:val="left" w:pos="612"/>
            </w:tabs>
            <w:rPr>
              <w:rFonts w:ascii="Verdana" w:hAnsi="Verdana"/>
              <w:color w:val="00CCFF"/>
              <w:sz w:val="12"/>
              <w:szCs w:val="12"/>
            </w:rPr>
          </w:pPr>
        </w:p>
        <w:p w:rsidR="00BD746E" w:rsidRPr="001C0DE6" w:rsidRDefault="00845FB5" w:rsidP="0040762D">
          <w:pPr>
            <w:pStyle w:val="Header"/>
            <w:tabs>
              <w:tab w:val="left" w:pos="612"/>
            </w:tabs>
            <w:rPr>
              <w:rFonts w:ascii="Verdana" w:hAnsi="Verdana"/>
              <w:sz w:val="12"/>
              <w:szCs w:val="12"/>
              <w:lang w:val="mk-MK"/>
            </w:rPr>
          </w:pPr>
          <w:r w:rsidRPr="0040762D">
            <w:rPr>
              <w:rFonts w:ascii="Verdana" w:hAnsi="Verdana"/>
              <w:color w:val="00CCFF"/>
              <w:sz w:val="12"/>
              <w:szCs w:val="12"/>
              <w:lang w:val="mk-MK"/>
            </w:rPr>
            <w:t>адреса</w:t>
          </w:r>
          <w:r w:rsidR="00BD746E" w:rsidRPr="001C0DE6">
            <w:rPr>
              <w:rFonts w:ascii="Verdana" w:hAnsi="Verdana"/>
              <w:color w:val="99CCFF"/>
              <w:sz w:val="12"/>
              <w:szCs w:val="12"/>
              <w:lang w:val="ru-RU"/>
            </w:rPr>
            <w:t>:</w:t>
          </w:r>
          <w:r w:rsidR="00BD746E" w:rsidRPr="001C0DE6">
            <w:rPr>
              <w:rFonts w:ascii="Verdana" w:hAnsi="Verdana"/>
              <w:sz w:val="12"/>
              <w:szCs w:val="12"/>
              <w:lang w:val="ru-RU"/>
            </w:rPr>
            <w:t xml:space="preserve"> </w:t>
          </w:r>
          <w:r w:rsidR="00BD746E" w:rsidRPr="001C0DE6">
            <w:rPr>
              <w:rFonts w:ascii="Verdana" w:hAnsi="Verdana"/>
              <w:sz w:val="12"/>
              <w:szCs w:val="12"/>
              <w:lang w:val="ru-RU"/>
            </w:rPr>
            <w:tab/>
          </w:r>
          <w:r w:rsidR="001C0DE6">
            <w:rPr>
              <w:rFonts w:ascii="Verdana" w:hAnsi="Verdana"/>
              <w:sz w:val="12"/>
              <w:szCs w:val="12"/>
              <w:lang w:val="mk-MK"/>
            </w:rPr>
            <w:t>Ул. “Босфор“ бр.7, Мралино</w:t>
          </w:r>
        </w:p>
        <w:p w:rsidR="00BD746E" w:rsidRPr="0040762D" w:rsidRDefault="00BD746E" w:rsidP="0040762D">
          <w:pPr>
            <w:pStyle w:val="Header"/>
            <w:tabs>
              <w:tab w:val="left" w:pos="612"/>
            </w:tabs>
            <w:rPr>
              <w:rFonts w:ascii="Verdana" w:hAnsi="Verdana"/>
              <w:sz w:val="12"/>
              <w:szCs w:val="12"/>
              <w:lang w:val="mk-MK"/>
            </w:rPr>
          </w:pPr>
          <w:r w:rsidRPr="001C0DE6">
            <w:rPr>
              <w:rFonts w:ascii="Verdana" w:hAnsi="Verdana"/>
              <w:sz w:val="12"/>
              <w:szCs w:val="12"/>
              <w:lang w:val="ru-RU"/>
            </w:rPr>
            <w:tab/>
          </w:r>
          <w:r w:rsidR="00F00B43" w:rsidRPr="001C0DE6">
            <w:rPr>
              <w:rFonts w:ascii="Verdana" w:hAnsi="Verdana"/>
              <w:sz w:val="12"/>
              <w:szCs w:val="12"/>
              <w:lang w:val="ru-RU"/>
            </w:rPr>
            <w:t>104</w:t>
          </w:r>
          <w:r w:rsidR="001C0DE6">
            <w:rPr>
              <w:rFonts w:ascii="Verdana" w:hAnsi="Verdana"/>
              <w:sz w:val="12"/>
              <w:szCs w:val="12"/>
              <w:lang w:val="ru-RU"/>
            </w:rPr>
            <w:t>1</w:t>
          </w:r>
          <w:r w:rsidR="00F00B43" w:rsidRPr="001C0DE6">
            <w:rPr>
              <w:rFonts w:ascii="Verdana" w:hAnsi="Verdana"/>
              <w:sz w:val="12"/>
              <w:szCs w:val="12"/>
              <w:lang w:val="ru-RU"/>
            </w:rPr>
            <w:t xml:space="preserve">, </w:t>
          </w:r>
          <w:r w:rsidR="001C0DE6">
            <w:rPr>
              <w:rFonts w:ascii="Verdana" w:hAnsi="Verdana"/>
              <w:sz w:val="12"/>
              <w:szCs w:val="12"/>
              <w:lang w:val="ru-RU"/>
            </w:rPr>
            <w:t>Илинден</w:t>
          </w:r>
          <w:r w:rsidR="00F00B43" w:rsidRPr="001C0DE6">
            <w:rPr>
              <w:rFonts w:ascii="Verdana" w:hAnsi="Verdana"/>
              <w:sz w:val="12"/>
              <w:szCs w:val="12"/>
              <w:lang w:val="ru-RU"/>
            </w:rPr>
            <w:t xml:space="preserve">, </w:t>
          </w:r>
          <w:r w:rsidR="00845FB5" w:rsidRPr="0040762D">
            <w:rPr>
              <w:rFonts w:ascii="Verdana" w:hAnsi="Verdana"/>
              <w:sz w:val="12"/>
              <w:szCs w:val="12"/>
              <w:lang w:val="mk-MK"/>
            </w:rPr>
            <w:t>Република Македонија</w:t>
          </w:r>
        </w:p>
        <w:p w:rsidR="00BD746E" w:rsidRPr="001C0DE6" w:rsidRDefault="00845FB5" w:rsidP="0040762D">
          <w:pPr>
            <w:pStyle w:val="Header"/>
            <w:tabs>
              <w:tab w:val="left" w:pos="612"/>
            </w:tabs>
            <w:rPr>
              <w:rFonts w:ascii="Verdana" w:hAnsi="Verdana"/>
              <w:sz w:val="12"/>
              <w:szCs w:val="12"/>
              <w:lang w:val="ru-RU"/>
            </w:rPr>
          </w:pPr>
          <w:r w:rsidRPr="0040762D">
            <w:rPr>
              <w:rFonts w:ascii="Verdana" w:hAnsi="Verdana"/>
              <w:color w:val="00CCFF"/>
              <w:sz w:val="12"/>
              <w:szCs w:val="12"/>
              <w:lang w:val="mk-MK"/>
            </w:rPr>
            <w:t>тел</w:t>
          </w:r>
          <w:r w:rsidR="00BD746E" w:rsidRPr="001C0DE6">
            <w:rPr>
              <w:rFonts w:ascii="Verdana" w:hAnsi="Verdana"/>
              <w:color w:val="00CCFF"/>
              <w:sz w:val="12"/>
              <w:szCs w:val="12"/>
              <w:lang w:val="ru-RU"/>
            </w:rPr>
            <w:t>.</w:t>
          </w:r>
          <w:r w:rsidR="00BD746E" w:rsidRPr="001C0DE6">
            <w:rPr>
              <w:rFonts w:ascii="Verdana" w:hAnsi="Verdana"/>
              <w:sz w:val="12"/>
              <w:szCs w:val="12"/>
              <w:lang w:val="ru-RU"/>
            </w:rPr>
            <w:t xml:space="preserve"> </w:t>
          </w:r>
          <w:r w:rsidR="00BD746E" w:rsidRPr="001C0DE6">
            <w:rPr>
              <w:rFonts w:ascii="Verdana" w:hAnsi="Verdana"/>
              <w:sz w:val="12"/>
              <w:szCs w:val="12"/>
              <w:lang w:val="ru-RU"/>
            </w:rPr>
            <w:tab/>
            <w:t>+389 2 3148100</w:t>
          </w:r>
        </w:p>
        <w:p w:rsidR="00BD746E" w:rsidRPr="001C0DE6" w:rsidRDefault="00845FB5" w:rsidP="0040762D">
          <w:pPr>
            <w:pStyle w:val="Header"/>
            <w:tabs>
              <w:tab w:val="left" w:pos="612"/>
            </w:tabs>
            <w:rPr>
              <w:rFonts w:ascii="Verdana" w:hAnsi="Verdana"/>
              <w:sz w:val="12"/>
              <w:szCs w:val="12"/>
              <w:lang w:val="ru-RU"/>
            </w:rPr>
          </w:pPr>
          <w:r w:rsidRPr="0040762D">
            <w:rPr>
              <w:rFonts w:ascii="Verdana" w:hAnsi="Verdana"/>
              <w:color w:val="00CCFF"/>
              <w:sz w:val="12"/>
              <w:szCs w:val="12"/>
              <w:lang w:val="mk-MK"/>
            </w:rPr>
            <w:t>факс</w:t>
          </w:r>
          <w:r w:rsidR="00BD746E" w:rsidRPr="001C0DE6">
            <w:rPr>
              <w:rFonts w:ascii="Verdana" w:hAnsi="Verdana"/>
              <w:sz w:val="12"/>
              <w:szCs w:val="12"/>
              <w:lang w:val="ru-RU"/>
            </w:rPr>
            <w:t xml:space="preserve"> </w:t>
          </w:r>
          <w:r w:rsidR="00BD746E" w:rsidRPr="001C0DE6">
            <w:rPr>
              <w:rFonts w:ascii="Verdana" w:hAnsi="Verdana"/>
              <w:sz w:val="12"/>
              <w:szCs w:val="12"/>
              <w:lang w:val="ru-RU"/>
            </w:rPr>
            <w:tab/>
            <w:t>+389 2 3148239</w:t>
          </w:r>
        </w:p>
        <w:p w:rsidR="00BD746E" w:rsidRPr="001C0DE6" w:rsidRDefault="00BD746E" w:rsidP="0040762D">
          <w:pPr>
            <w:pStyle w:val="Header"/>
            <w:ind w:left="792" w:hanging="792"/>
            <w:rPr>
              <w:sz w:val="12"/>
              <w:szCs w:val="12"/>
              <w:lang w:val="ru-RU"/>
            </w:rPr>
          </w:pPr>
        </w:p>
      </w:tc>
    </w:tr>
  </w:tbl>
  <w:p w:rsidR="00BD746E" w:rsidRPr="001C0DE6" w:rsidRDefault="00BD746E" w:rsidP="00BD746E">
    <w:pPr>
      <w:pStyle w:val="Header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2C" w:rsidRDefault="008C3F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243.55pt;height:647.9pt;z-index:-2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DD6"/>
    <w:rsid w:val="000671F9"/>
    <w:rsid w:val="000C723A"/>
    <w:rsid w:val="00134E76"/>
    <w:rsid w:val="00152DD6"/>
    <w:rsid w:val="001675C0"/>
    <w:rsid w:val="001719EE"/>
    <w:rsid w:val="001A0FB5"/>
    <w:rsid w:val="001C0DE6"/>
    <w:rsid w:val="00213EE8"/>
    <w:rsid w:val="00277A2C"/>
    <w:rsid w:val="002B0729"/>
    <w:rsid w:val="002C167B"/>
    <w:rsid w:val="002E0FE1"/>
    <w:rsid w:val="0040762D"/>
    <w:rsid w:val="004569E1"/>
    <w:rsid w:val="00457AE4"/>
    <w:rsid w:val="00470A8B"/>
    <w:rsid w:val="004C159C"/>
    <w:rsid w:val="00510354"/>
    <w:rsid w:val="00526D17"/>
    <w:rsid w:val="00561E32"/>
    <w:rsid w:val="005C11E9"/>
    <w:rsid w:val="00634F01"/>
    <w:rsid w:val="00746A4E"/>
    <w:rsid w:val="00752FB4"/>
    <w:rsid w:val="00777DFE"/>
    <w:rsid w:val="007C56A6"/>
    <w:rsid w:val="007E3F38"/>
    <w:rsid w:val="00806703"/>
    <w:rsid w:val="0082050A"/>
    <w:rsid w:val="008335E4"/>
    <w:rsid w:val="00834755"/>
    <w:rsid w:val="00845FB5"/>
    <w:rsid w:val="008A78A1"/>
    <w:rsid w:val="008C3FC2"/>
    <w:rsid w:val="008C4922"/>
    <w:rsid w:val="00947DBD"/>
    <w:rsid w:val="009832ED"/>
    <w:rsid w:val="009D08BB"/>
    <w:rsid w:val="00A24C98"/>
    <w:rsid w:val="00AF419F"/>
    <w:rsid w:val="00B7153B"/>
    <w:rsid w:val="00BD746E"/>
    <w:rsid w:val="00C024D5"/>
    <w:rsid w:val="00D27F09"/>
    <w:rsid w:val="00D44935"/>
    <w:rsid w:val="00DD75F4"/>
    <w:rsid w:val="00DE3910"/>
    <w:rsid w:val="00E34130"/>
    <w:rsid w:val="00E41131"/>
    <w:rsid w:val="00F00B43"/>
    <w:rsid w:val="00F070B8"/>
    <w:rsid w:val="00F55D1F"/>
    <w:rsid w:val="00F76DC3"/>
    <w:rsid w:val="00F81746"/>
    <w:rsid w:val="00FA4A3C"/>
    <w:rsid w:val="00FD4817"/>
    <w:rsid w:val="00FE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1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7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vrilov\Desktop\m-nav-MKD-Iso-97_no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m-nav-MKD-Iso-97_nov.dot</Template>
  <TotalTime>56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Gavrilov</dc:creator>
  <cp:lastModifiedBy>Nenad Konstantinovic</cp:lastModifiedBy>
  <cp:revision>10</cp:revision>
  <cp:lastPrinted>2015-03-20T06:39:00Z</cp:lastPrinted>
  <dcterms:created xsi:type="dcterms:W3CDTF">2018-01-25T10:03:00Z</dcterms:created>
  <dcterms:modified xsi:type="dcterms:W3CDTF">2018-01-29T10:31:00Z</dcterms:modified>
</cp:coreProperties>
</file>